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550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1845F7" w:rsidRDefault="001845F7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</w:tr>
      <w:tr w:rsidR="00550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1845F7" w:rsidRDefault="001845F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1845F7" w:rsidRDefault="00550538">
            <w:pPr>
              <w:pStyle w:val="1CStyle1"/>
            </w:pPr>
            <w:r>
              <w:t>Техническое задание по Лоту №1</w:t>
            </w: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1845F7" w:rsidRDefault="00550538">
            <w:pPr>
              <w:pStyle w:val="1CStyle1"/>
            </w:pPr>
            <w:r>
              <w:t>По открытому запросу предложений  в электронной форме № 126 256</w:t>
            </w: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1845F7" w:rsidRDefault="00550538">
            <w:pPr>
              <w:pStyle w:val="1CStyle1"/>
            </w:pPr>
            <w:r>
              <w:t>Для нужд: ООО "Газпром межрегионгаз Иваново"</w:t>
            </w:r>
          </w:p>
        </w:tc>
      </w:tr>
      <w:tr w:rsidR="00550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1845F7" w:rsidRDefault="001845F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</w:tr>
      <w:tr w:rsidR="00550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1845F7" w:rsidRDefault="001845F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</w:tr>
      <w:tr w:rsidR="00550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1845F7" w:rsidRDefault="001845F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</w:tr>
      <w:tr w:rsidR="00550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1845F7" w:rsidRDefault="001845F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  <w:jc w:val="left"/>
            </w:pP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4"/>
              <w:jc w:val="left"/>
            </w:pPr>
            <w:r>
              <w:t>ОКВЭД</w:t>
            </w: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1845F7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1845F7">
            <w:pPr>
              <w:pStyle w:val="1CStyle5"/>
              <w:jc w:val="left"/>
            </w:pP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11"/>
            </w:pPr>
            <w:r>
              <w:t>Место (адрес) поставки товара</w:t>
            </w: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13"/>
              <w:jc w:val="left"/>
            </w:pPr>
            <w:r>
              <w:t>Анализатор сети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13"/>
              <w:jc w:val="left"/>
            </w:pPr>
            <w:r>
              <w:t xml:space="preserve">ООО "Газпром </w:t>
            </w:r>
            <w:r>
              <w:t>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17"/>
              <w:jc w:val="left"/>
            </w:pPr>
            <w:r>
              <w:t>анализатор L2-L7 сетей Ethernet-10/100/Gig-E Анализатор сетей ETHERNET, GIGABIT ETHERNET и конвергентных решений NGN</w:t>
            </w: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845F7" w:rsidRDefault="00550538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19"/>
              <w:jc w:val="left"/>
            </w:pPr>
            <w:r>
              <w:t>Беркут-GE1 анализатор L2-L7 сетей Ethernet-10/100/Gig-E Анализатор сетей ETHERNET, GIGABIT ETHERNET и конвергентных решений NGN</w:t>
            </w:r>
          </w:p>
        </w:tc>
      </w:tr>
      <w:tr w:rsidR="00550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45F7" w:rsidRDefault="00550538">
            <w:pPr>
              <w:pStyle w:val="1CStyle21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45F7" w:rsidRDefault="00550538">
            <w:pPr>
              <w:pStyle w:val="1CStyle22"/>
              <w:jc w:val="left"/>
            </w:pPr>
            <w:r>
              <w:t>Условия поставки товаров</w:t>
            </w: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45F7" w:rsidRDefault="00550538">
            <w:pPr>
              <w:pStyle w:val="1CStyle23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5"/>
              <w:jc w:val="left"/>
            </w:pPr>
            <w:r>
              <w:t>ООО "Газпром межрегионгаз Иваново"</w:t>
            </w: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45F7" w:rsidRDefault="00550538">
            <w:pPr>
              <w:pStyle w:val="1CStyle23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24"/>
              <w:jc w:val="left"/>
            </w:pPr>
            <w:r>
              <w:t>153002, г.Иваново, ул.Жиделева, д.17-А</w:t>
            </w: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45F7" w:rsidRDefault="00550538">
            <w:pPr>
              <w:pStyle w:val="1CStyle23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24"/>
              <w:jc w:val="left"/>
            </w:pPr>
            <w:r>
              <w:t xml:space="preserve">Строго в соответствии с </w:t>
            </w:r>
            <w:r>
              <w:t>графиком поставки товара:</w:t>
            </w:r>
          </w:p>
        </w:tc>
      </w:tr>
      <w:tr w:rsidR="00550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45F7" w:rsidRDefault="00550538">
            <w:pPr>
              <w:pStyle w:val="1CStyle21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45F7" w:rsidRDefault="00550538">
            <w:pPr>
              <w:pStyle w:val="1CStyle25"/>
              <w:jc w:val="left"/>
            </w:pPr>
            <w:r>
              <w:t>График поставки</w:t>
            </w: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11"/>
            </w:pPr>
            <w:r>
              <w:t>Место (адрес) поставки товара</w:t>
            </w: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26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27"/>
              <w:jc w:val="left"/>
            </w:pPr>
            <w:r>
              <w:t>Анализатор сети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28"/>
            </w:pPr>
            <w:r>
              <w:t>от  3 до 4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29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30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27"/>
              <w:jc w:val="left"/>
            </w:pPr>
            <w:r>
              <w:t>153002, г.Иваново, ул.Жиделева, д.17-А</w:t>
            </w:r>
          </w:p>
        </w:tc>
      </w:tr>
      <w:tr w:rsidR="00550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845F7" w:rsidRDefault="001845F7">
            <w:pPr>
              <w:pStyle w:val="1CStyle0"/>
            </w:pP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45F7" w:rsidRDefault="00550538">
            <w:pPr>
              <w:pStyle w:val="1CStyle21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45F7" w:rsidRDefault="00550538">
            <w:pPr>
              <w:pStyle w:val="1CStyle25"/>
              <w:jc w:val="left"/>
            </w:pPr>
            <w:r>
              <w:t>Условия проведения закупочной процедуры.</w:t>
            </w: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31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32"/>
            </w:pPr>
            <w:r>
              <w:t>530 000,00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33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34"/>
            </w:pPr>
            <w:r>
              <w:t>Открытый запрос предложений в электронной форме</w:t>
            </w: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31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32"/>
            </w:pPr>
            <w:r>
              <w:t>80 847,46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33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34"/>
            </w:pPr>
            <w:r>
              <w:t>Открытый запрос предложений в электронной форме</w:t>
            </w: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31"/>
              <w:jc w:val="left"/>
            </w:pPr>
            <w:r>
              <w:t xml:space="preserve"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</w:t>
            </w:r>
            <w:r>
              <w:t>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35"/>
            </w:pPr>
            <w:r>
              <w:t>449 152,54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33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34"/>
            </w:pPr>
            <w:r>
              <w:t>Открытый запрос предложений в электронной форме</w:t>
            </w:r>
          </w:p>
        </w:tc>
      </w:tr>
      <w:tr w:rsidR="00184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36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5F7" w:rsidRDefault="00550538">
            <w:pPr>
              <w:pStyle w:val="1CStyle24"/>
              <w:jc w:val="left"/>
            </w:pPr>
            <w:r>
              <w:t>в течение 30 календарных дней после поставки</w:t>
            </w:r>
          </w:p>
        </w:tc>
      </w:tr>
    </w:tbl>
    <w:p w:rsidR="00000000" w:rsidRDefault="00550538"/>
    <w:sectPr w:rsidR="00000000" w:rsidSect="005505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5F7"/>
    <w:rsid w:val="001845F7"/>
    <w:rsid w:val="005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20">
    <w:name w:val="1CStyle20"/>
    <w:pPr>
      <w:jc w:val="center"/>
    </w:pPr>
    <w:rPr>
      <w:rFonts w:ascii="Times New Roman" w:hAnsi="Times New Roman"/>
    </w:rPr>
  </w:style>
  <w:style w:type="paragraph" w:customStyle="1" w:styleId="1CStyle25">
    <w:name w:val="1CStyle25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21">
    <w:name w:val="1CStyle21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3">
    <w:name w:val="1CStyle23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jc w:val="center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26">
    <w:name w:val="1CStyle26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20"/>
    </w:rPr>
  </w:style>
  <w:style w:type="paragraph" w:customStyle="1" w:styleId="1CStyle22">
    <w:name w:val="1CStyle22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6">
    <w:name w:val="1CStyle36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35">
    <w:name w:val="1CStyle35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right"/>
    </w:pPr>
    <w:rPr>
      <w:rFonts w:ascii="Times New Roman" w:hAnsi="Times New Roman"/>
      <w:sz w:val="20"/>
    </w:rPr>
  </w:style>
  <w:style w:type="paragraph" w:customStyle="1" w:styleId="1CStyle19">
    <w:name w:val="1CStyle19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Игоревич Лютиков</cp:lastModifiedBy>
  <cp:revision>2</cp:revision>
  <dcterms:created xsi:type="dcterms:W3CDTF">2017-06-30T12:55:00Z</dcterms:created>
  <dcterms:modified xsi:type="dcterms:W3CDTF">2017-06-30T12:55:00Z</dcterms:modified>
</cp:coreProperties>
</file>